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C65" w:rsidRPr="00D20F9D" w:rsidRDefault="00BA6C65" w:rsidP="008F0962">
      <w:pPr>
        <w:pStyle w:val="NoSpacing"/>
        <w:rPr>
          <w:rFonts w:ascii="Century Gothic" w:hAnsi="Century Gothic"/>
          <w:szCs w:val="24"/>
        </w:rPr>
      </w:pPr>
      <w:r w:rsidRPr="00D20F9D">
        <w:rPr>
          <w:rFonts w:ascii="Century Gothic" w:hAnsi="Century Gothic"/>
          <w:szCs w:val="24"/>
        </w:rPr>
        <w:t>To:</w:t>
      </w:r>
      <w:r w:rsidRPr="00D20F9D">
        <w:rPr>
          <w:rFonts w:ascii="Century Gothic" w:hAnsi="Century Gothic"/>
          <w:szCs w:val="24"/>
        </w:rPr>
        <w:tab/>
      </w:r>
      <w:r w:rsidRPr="00D20F9D">
        <w:rPr>
          <w:rFonts w:ascii="Century Gothic" w:hAnsi="Century Gothic"/>
          <w:szCs w:val="24"/>
        </w:rPr>
        <w:tab/>
      </w:r>
      <w:r>
        <w:rPr>
          <w:rFonts w:ascii="Century Gothic" w:hAnsi="Century Gothic"/>
          <w:szCs w:val="24"/>
        </w:rPr>
        <w:t>Faculty Senate</w:t>
      </w:r>
    </w:p>
    <w:p w:rsidR="00BA6C65" w:rsidRDefault="00BA6C65" w:rsidP="008F0962">
      <w:pPr>
        <w:pStyle w:val="NoSpacing"/>
        <w:ind w:left="1440" w:hanging="1440"/>
        <w:rPr>
          <w:rFonts w:ascii="Century Gothic" w:hAnsi="Century Gothic"/>
          <w:szCs w:val="24"/>
        </w:rPr>
      </w:pPr>
      <w:r w:rsidRPr="00D20F9D">
        <w:rPr>
          <w:rFonts w:ascii="Century Gothic" w:hAnsi="Century Gothic"/>
          <w:szCs w:val="24"/>
        </w:rPr>
        <w:t>From:</w:t>
      </w:r>
      <w:r w:rsidRPr="00D20F9D">
        <w:rPr>
          <w:rFonts w:ascii="Century Gothic" w:hAnsi="Century Gothic"/>
          <w:szCs w:val="24"/>
        </w:rPr>
        <w:tab/>
      </w:r>
      <w:r>
        <w:rPr>
          <w:rFonts w:ascii="Century Gothic" w:hAnsi="Century Gothic"/>
          <w:szCs w:val="24"/>
        </w:rPr>
        <w:t>David Hargreaves, Chair, Department of English, Writing and Linguistics</w:t>
      </w:r>
    </w:p>
    <w:p w:rsidR="00BA6C65" w:rsidRPr="00D20F9D" w:rsidRDefault="00BA6C65" w:rsidP="008F0962">
      <w:pPr>
        <w:pStyle w:val="NoSpacing"/>
        <w:rPr>
          <w:rFonts w:ascii="Century Gothic" w:hAnsi="Century Gothic"/>
          <w:szCs w:val="24"/>
        </w:rPr>
      </w:pPr>
      <w:r w:rsidRPr="00D20F9D">
        <w:rPr>
          <w:rFonts w:ascii="Century Gothic" w:hAnsi="Century Gothic"/>
          <w:szCs w:val="24"/>
        </w:rPr>
        <w:t>Date:</w:t>
      </w:r>
      <w:r w:rsidRPr="00D20F9D">
        <w:rPr>
          <w:rFonts w:ascii="Century Gothic" w:hAnsi="Century Gothic"/>
          <w:szCs w:val="24"/>
        </w:rPr>
        <w:tab/>
      </w:r>
      <w:r w:rsidRPr="00D20F9D">
        <w:rPr>
          <w:rFonts w:ascii="Century Gothic" w:hAnsi="Century Gothic"/>
          <w:szCs w:val="24"/>
        </w:rPr>
        <w:tab/>
      </w:r>
      <w:r w:rsidR="008F0962">
        <w:rPr>
          <w:rFonts w:ascii="Century Gothic" w:hAnsi="Century Gothic"/>
          <w:szCs w:val="24"/>
        </w:rPr>
        <w:t>Oct 28</w:t>
      </w:r>
      <w:r>
        <w:rPr>
          <w:rFonts w:ascii="Century Gothic" w:hAnsi="Century Gothic"/>
          <w:szCs w:val="24"/>
        </w:rPr>
        <w:t>, 2010</w:t>
      </w:r>
    </w:p>
    <w:p w:rsidR="00BA6C65" w:rsidRDefault="00BA6C65" w:rsidP="008F0962">
      <w:pPr>
        <w:pStyle w:val="NoSpacing"/>
        <w:ind w:left="1440" w:hanging="1440"/>
        <w:rPr>
          <w:rFonts w:ascii="Century Gothic" w:hAnsi="Century Gothic"/>
          <w:b/>
        </w:rPr>
      </w:pPr>
      <w:r w:rsidRPr="00057D38">
        <w:rPr>
          <w:rFonts w:ascii="Century Gothic" w:hAnsi="Century Gothic"/>
        </w:rPr>
        <w:t>Re:</w:t>
      </w:r>
      <w:r w:rsidRPr="00057D38">
        <w:rPr>
          <w:rFonts w:ascii="Century Gothic" w:hAnsi="Century Gothic"/>
        </w:rPr>
        <w:tab/>
      </w:r>
      <w:r>
        <w:rPr>
          <w:rFonts w:ascii="Century Gothic" w:hAnsi="Century Gothic"/>
          <w:b/>
        </w:rPr>
        <w:t>Proposed New Program: Certificate in Teaching English as a Foreign Language</w:t>
      </w:r>
    </w:p>
    <w:p w:rsidR="00BA6C65" w:rsidRDefault="00BA6C65" w:rsidP="008F0962"/>
    <w:p w:rsidR="00BA6C65" w:rsidRDefault="00BA6C65" w:rsidP="008F0962"/>
    <w:p w:rsidR="00C411D6" w:rsidRPr="00C411D6" w:rsidRDefault="00C411D6" w:rsidP="008F0962">
      <w:pPr>
        <w:pStyle w:val="ListParagraph"/>
        <w:numPr>
          <w:ilvl w:val="0"/>
          <w:numId w:val="5"/>
        </w:numPr>
      </w:pPr>
      <w:r>
        <w:t>DESCRIPTION</w:t>
      </w:r>
      <w:r w:rsidR="00BA6C65">
        <w:t xml:space="preserve"> OF NEW PROG</w:t>
      </w:r>
      <w:r>
        <w:t>RAM</w:t>
      </w:r>
    </w:p>
    <w:p w:rsidR="00C411D6" w:rsidRDefault="00C411D6" w:rsidP="008F0962"/>
    <w:p w:rsidR="00C411D6" w:rsidRDefault="00C411D6" w:rsidP="008F0962">
      <w:r>
        <w:t>The faculty of the Department of English, Writing and Linguistics (DEWL) propose an undergraduate/post-baccalaureate Certificate in Teaching English as a Foreign Language.</w:t>
      </w:r>
    </w:p>
    <w:p w:rsidR="00C411D6" w:rsidRDefault="00C411D6" w:rsidP="008F0962"/>
    <w:p w:rsidR="00C411D6" w:rsidRDefault="00C411D6" w:rsidP="00505337">
      <w:r>
        <w:t>As of 2010, the English Department includes both an English/Linguistics emphasis, and a Linguistics Minor. The English Department common core requires 41 credits, 8 of which are required Linguistics. The English/Linguistics Major requires an additional 20 hours in Linguistics (plus 8 more hours of electives). The Linguistics Minor requires 8 hours of Linguistics prerequisites plus an addition 12 hours of upper-division Linguistics courses, for a total of 20 hours.</w:t>
      </w:r>
    </w:p>
    <w:p w:rsidR="00C411D6" w:rsidRDefault="00C411D6" w:rsidP="008F0962"/>
    <w:p w:rsidR="00C411D6" w:rsidRDefault="00C411D6" w:rsidP="008F0962">
      <w:r>
        <w:t xml:space="preserve">The </w:t>
      </w:r>
      <w:r w:rsidR="00505337">
        <w:t xml:space="preserve">proposed </w:t>
      </w:r>
      <w:r>
        <w:t xml:space="preserve">TEFL Certificate program will consist of a 26-credit program (22 </w:t>
      </w:r>
      <w:proofErr w:type="gramStart"/>
      <w:r>
        <w:t>upper-division</w:t>
      </w:r>
      <w:proofErr w:type="gramEnd"/>
      <w:r>
        <w:t>) composed of six 4-credit courses plus a 2-credit practicum. The program is designed for undergraduates and post-baccalaureate students seeking a TEFL certificate.</w:t>
      </w:r>
      <w:r w:rsidRPr="00660929">
        <w:t xml:space="preserve"> </w:t>
      </w:r>
      <w:r>
        <w:t>Students p</w:t>
      </w:r>
      <w:r w:rsidR="00505337">
        <w:t xml:space="preserve">ursuing the English Linguistics </w:t>
      </w:r>
      <w:r>
        <w:t xml:space="preserve">Major, or Linguistics Minor will be able to pursue the Certificate along with their Major/Minor courses. Students may also enter the program with a Baccalaureate </w:t>
      </w:r>
      <w:r w:rsidR="008F0962">
        <w:t xml:space="preserve">degree, </w:t>
      </w:r>
      <w:r>
        <w:t>and pursue the Certificate by completing the required courses (26 credits).</w:t>
      </w:r>
    </w:p>
    <w:p w:rsidR="00E33C81" w:rsidRDefault="00E33C81" w:rsidP="008F0962"/>
    <w:p w:rsidR="00E33C81" w:rsidRDefault="00E33C81" w:rsidP="003E3777">
      <w:pPr>
        <w:jc w:val="center"/>
        <w:rPr>
          <w:b/>
          <w:bCs/>
        </w:rPr>
      </w:pPr>
      <w:r w:rsidRPr="00505337">
        <w:rPr>
          <w:b/>
          <w:bCs/>
        </w:rPr>
        <w:t xml:space="preserve">Overview of WOU TEFL Certificate </w:t>
      </w:r>
      <w:r w:rsidR="003E3777">
        <w:rPr>
          <w:b/>
          <w:bCs/>
        </w:rPr>
        <w:t>Requirements</w:t>
      </w:r>
    </w:p>
    <w:p w:rsidR="00505337" w:rsidRPr="00505337" w:rsidRDefault="00505337" w:rsidP="00505337">
      <w:pPr>
        <w:jc w:val="center"/>
        <w:rPr>
          <w:b/>
          <w:bCs/>
        </w:rPr>
      </w:pPr>
    </w:p>
    <w:p w:rsidR="00E33C81" w:rsidRPr="00366F69" w:rsidRDefault="00E33C81" w:rsidP="008F0962">
      <w:r w:rsidRPr="00366F69">
        <w:t xml:space="preserve">LING 210 </w:t>
      </w:r>
      <w:r w:rsidRPr="00366F69">
        <w:tab/>
        <w:t>Intro to Linguistics</w:t>
      </w:r>
      <w:r w:rsidRPr="00366F69">
        <w:tab/>
      </w:r>
      <w:r w:rsidRPr="00366F69">
        <w:tab/>
      </w:r>
      <w:r w:rsidRPr="00366F69">
        <w:tab/>
      </w:r>
      <w:r w:rsidRPr="00366F69">
        <w:tab/>
      </w:r>
      <w:r w:rsidRPr="00366F69">
        <w:tab/>
      </w:r>
      <w:r w:rsidRPr="00366F69">
        <w:tab/>
      </w:r>
      <w:r>
        <w:tab/>
      </w:r>
      <w:r>
        <w:tab/>
      </w:r>
      <w:r w:rsidRPr="00366F69">
        <w:t>(4)</w:t>
      </w:r>
    </w:p>
    <w:p w:rsidR="00E33C81" w:rsidRPr="00366F69" w:rsidRDefault="00E33C81" w:rsidP="008F0962">
      <w:r w:rsidRPr="00366F69">
        <w:t xml:space="preserve">LING 315 </w:t>
      </w:r>
      <w:r w:rsidRPr="00366F69">
        <w:tab/>
        <w:t>Structure of English</w:t>
      </w:r>
      <w:r w:rsidRPr="00366F69">
        <w:tab/>
      </w:r>
      <w:r w:rsidRPr="00366F69">
        <w:tab/>
      </w:r>
      <w:r w:rsidRPr="00366F69">
        <w:tab/>
      </w:r>
      <w:r w:rsidRPr="00366F69">
        <w:tab/>
      </w:r>
      <w:r w:rsidRPr="00366F69">
        <w:tab/>
      </w:r>
      <w:r w:rsidRPr="00366F69">
        <w:tab/>
      </w:r>
      <w:r>
        <w:tab/>
      </w:r>
      <w:r>
        <w:tab/>
      </w:r>
      <w:r w:rsidRPr="00366F69">
        <w:t>(4)</w:t>
      </w:r>
    </w:p>
    <w:p w:rsidR="00E33C81" w:rsidRPr="00366F69" w:rsidRDefault="00E33C81" w:rsidP="008F0962">
      <w:r w:rsidRPr="00366F69">
        <w:t xml:space="preserve">LING 312 </w:t>
      </w:r>
      <w:r w:rsidRPr="00366F69">
        <w:tab/>
        <w:t xml:space="preserve">Language and Society </w:t>
      </w:r>
      <w:r w:rsidRPr="00366F69">
        <w:rPr>
          <w:b/>
          <w:bCs/>
          <w:i/>
          <w:iCs/>
        </w:rPr>
        <w:t>or</w:t>
      </w:r>
      <w:r w:rsidRPr="00366F69">
        <w:t xml:space="preserve"> LING 370 Discourse and Text  </w:t>
      </w:r>
      <w:r w:rsidRPr="00366F69">
        <w:tab/>
      </w:r>
      <w:r>
        <w:tab/>
      </w:r>
      <w:r>
        <w:tab/>
      </w:r>
      <w:r w:rsidRPr="00366F69">
        <w:t xml:space="preserve">(4)             </w:t>
      </w:r>
    </w:p>
    <w:p w:rsidR="00E33C81" w:rsidRPr="00366F69" w:rsidRDefault="00E33C81" w:rsidP="008F0962">
      <w:r w:rsidRPr="00366F69">
        <w:t xml:space="preserve">LING 410 </w:t>
      </w:r>
      <w:r w:rsidRPr="00366F69">
        <w:tab/>
        <w:t xml:space="preserve">Theories of </w:t>
      </w:r>
      <w:r>
        <w:t xml:space="preserve">Foreign </w:t>
      </w:r>
      <w:r w:rsidRPr="00366F69">
        <w:t>Language Acquisit</w:t>
      </w:r>
      <w:r>
        <w:t>ion with adult/young adult learners</w:t>
      </w:r>
      <w:r>
        <w:tab/>
      </w:r>
      <w:r w:rsidRPr="00366F69">
        <w:t>(4)</w:t>
      </w:r>
    </w:p>
    <w:p w:rsidR="00E33C81" w:rsidRPr="00366F69" w:rsidRDefault="00E33C81" w:rsidP="008F0962">
      <w:r w:rsidRPr="00366F69">
        <w:t>LING 415</w:t>
      </w:r>
      <w:r w:rsidRPr="00366F69">
        <w:tab/>
        <w:t xml:space="preserve">Strategies in TEFL Teaching </w:t>
      </w:r>
      <w:r>
        <w:t>with adult/young adult learners</w:t>
      </w:r>
      <w:r w:rsidRPr="00366F69">
        <w:tab/>
      </w:r>
      <w:r>
        <w:tab/>
      </w:r>
      <w:r w:rsidRPr="00366F69">
        <w:t>(4</w:t>
      </w:r>
      <w:proofErr w:type="gramStart"/>
      <w:r w:rsidRPr="00366F69">
        <w:t>)</w:t>
      </w:r>
      <w:proofErr w:type="gramEnd"/>
      <w:r w:rsidRPr="00366F69">
        <w:br/>
        <w:t>LING 492</w:t>
      </w:r>
      <w:r w:rsidRPr="00366F69">
        <w:tab/>
        <w:t>Pedagogical Grammar in TEFL</w:t>
      </w:r>
      <w:r w:rsidRPr="00EF5A5A">
        <w:t xml:space="preserve"> </w:t>
      </w:r>
      <w:r>
        <w:t>with adult/young adult learners</w:t>
      </w:r>
      <w:r w:rsidRPr="00366F69">
        <w:tab/>
      </w:r>
      <w:r>
        <w:tab/>
      </w:r>
      <w:r w:rsidRPr="00366F69">
        <w:t>(4)</w:t>
      </w:r>
    </w:p>
    <w:p w:rsidR="00E33C81" w:rsidRPr="007264F3" w:rsidRDefault="00E33C81" w:rsidP="008F0962">
      <w:pPr>
        <w:rPr>
          <w:u w:val="single"/>
        </w:rPr>
      </w:pPr>
      <w:r w:rsidRPr="007264F3">
        <w:rPr>
          <w:u w:val="single"/>
        </w:rPr>
        <w:t>LING 416</w:t>
      </w:r>
      <w:r w:rsidRPr="007264F3">
        <w:rPr>
          <w:u w:val="single"/>
        </w:rPr>
        <w:tab/>
        <w:t>Practicum (20 hours)</w:t>
      </w:r>
      <w:r w:rsidRPr="007264F3">
        <w:rPr>
          <w:u w:val="single"/>
        </w:rPr>
        <w:tab/>
      </w:r>
      <w:r w:rsidRPr="007264F3">
        <w:rPr>
          <w:u w:val="single"/>
        </w:rPr>
        <w:tab/>
      </w:r>
      <w:r w:rsidRPr="007264F3">
        <w:rPr>
          <w:u w:val="single"/>
        </w:rPr>
        <w:tab/>
      </w:r>
      <w:r w:rsidRPr="007264F3">
        <w:rPr>
          <w:u w:val="single"/>
        </w:rPr>
        <w:tab/>
      </w:r>
      <w:r w:rsidRPr="007264F3">
        <w:rPr>
          <w:u w:val="single"/>
        </w:rPr>
        <w:tab/>
      </w:r>
      <w:r w:rsidRPr="007264F3">
        <w:rPr>
          <w:u w:val="single"/>
        </w:rPr>
        <w:tab/>
      </w:r>
      <w:r>
        <w:rPr>
          <w:u w:val="single"/>
        </w:rPr>
        <w:tab/>
      </w:r>
      <w:r>
        <w:rPr>
          <w:u w:val="single"/>
        </w:rPr>
        <w:tab/>
        <w:t>(2</w:t>
      </w:r>
      <w:r w:rsidRPr="007264F3">
        <w:rPr>
          <w:u w:val="single"/>
        </w:rPr>
        <w:t>)</w:t>
      </w:r>
    </w:p>
    <w:p w:rsidR="00E33C81" w:rsidRDefault="00E33C81" w:rsidP="008F0962">
      <w:r w:rsidRPr="00366F69">
        <w:t xml:space="preserve">TOTAL </w:t>
      </w:r>
      <w:r w:rsidRPr="00366F69">
        <w:tab/>
      </w:r>
      <w:r>
        <w:tab/>
      </w:r>
      <w:r>
        <w:tab/>
      </w:r>
      <w:r>
        <w:tab/>
      </w:r>
      <w:r>
        <w:tab/>
      </w:r>
      <w:r>
        <w:tab/>
      </w:r>
      <w:r>
        <w:tab/>
      </w:r>
      <w:r>
        <w:tab/>
      </w:r>
      <w:r>
        <w:tab/>
      </w:r>
      <w:r>
        <w:tab/>
      </w:r>
      <w:r>
        <w:tab/>
        <w:t>(26)</w:t>
      </w:r>
    </w:p>
    <w:p w:rsidR="00C411D6" w:rsidRDefault="00C411D6" w:rsidP="008F0962"/>
    <w:p w:rsidR="00C411D6" w:rsidRDefault="00C411D6" w:rsidP="008F0962">
      <w:r>
        <w:t>The program will focus on prep</w:t>
      </w:r>
      <w:r w:rsidR="00B90E94">
        <w:t>aring TEFL teachers of adult/</w:t>
      </w:r>
      <w:r>
        <w:t xml:space="preserve">young adult learners of English, primarily but not exclusively, in institutions outside of the US. This program contrasts with and complements the College of Education’s K-12 Bilingual/ESOL Endorsement, where the focus is exclusively on Oregon K-12 students whose dominant or home language is not English. </w:t>
      </w:r>
    </w:p>
    <w:p w:rsidR="003E3777" w:rsidRDefault="003E3777" w:rsidP="008F0962"/>
    <w:p w:rsidR="003E3777" w:rsidRDefault="003E3777" w:rsidP="008F0962">
      <w:r>
        <w:t>The program can be implemented with current staffing and will not require any additional resources.</w:t>
      </w:r>
    </w:p>
    <w:p w:rsidR="00C411D6" w:rsidRDefault="00C411D6" w:rsidP="008F0962"/>
    <w:p w:rsidR="00C411D6" w:rsidRDefault="00C411D6" w:rsidP="008F0962"/>
    <w:p w:rsidR="00505337" w:rsidRDefault="00505337" w:rsidP="008F0962"/>
    <w:p w:rsidR="00505337" w:rsidRDefault="00505337" w:rsidP="008F0962"/>
    <w:p w:rsidR="00505337" w:rsidRDefault="00505337" w:rsidP="008F0962"/>
    <w:p w:rsidR="00C411D6" w:rsidRPr="00C411D6" w:rsidRDefault="00C411D6" w:rsidP="008F0962">
      <w:pPr>
        <w:pStyle w:val="ListParagraph"/>
        <w:numPr>
          <w:ilvl w:val="0"/>
          <w:numId w:val="5"/>
        </w:numPr>
        <w:rPr>
          <w:i/>
          <w:iCs/>
        </w:rPr>
      </w:pPr>
      <w:r>
        <w:t>REASONS FOR CHANGE</w:t>
      </w:r>
    </w:p>
    <w:p w:rsidR="00C411D6" w:rsidRPr="00C411D6" w:rsidRDefault="00C411D6" w:rsidP="008F0962">
      <w:pPr>
        <w:pStyle w:val="ListParagraph"/>
        <w:rPr>
          <w:i/>
          <w:iCs/>
        </w:rPr>
      </w:pPr>
    </w:p>
    <w:p w:rsidR="00E33C81" w:rsidRDefault="00C411D6" w:rsidP="00B90E94">
      <w:pPr>
        <w:numPr>
          <w:ilvl w:val="0"/>
          <w:numId w:val="1"/>
        </w:numPr>
      </w:pPr>
      <w:r>
        <w:t xml:space="preserve">Given the continued growth of English as an International Language, opportunities for teaching English abroad remain plentiful, and many current undergraduate students and post-baccalaureate students, particular those in English, Humanities and Social Sciences, </w:t>
      </w:r>
      <w:r w:rsidR="00B90E94">
        <w:t xml:space="preserve">seek </w:t>
      </w:r>
      <w:r>
        <w:t xml:space="preserve">these international TEFL positions. Obtaining TEFL training before seeking employment abroad greatly increases prospective </w:t>
      </w:r>
      <w:r w:rsidR="00B90E94">
        <w:t>teachers’ job opportunities and their chances of obtaining higher quality positions</w:t>
      </w:r>
      <w:r>
        <w:t>. In addition, large numbers of International students come to the U.S to study English and TEFL in order to teach in their home country. Majors or minors in English Linguistics and TEFL are almost always required for obtaining successful teaching positions. This certificate program provides opportunities for these two core constituencies and maintains profession</w:t>
      </w:r>
      <w:r w:rsidR="00B90E94">
        <w:t>al</w:t>
      </w:r>
      <w:r>
        <w:t xml:space="preserve"> standards for </w:t>
      </w:r>
      <w:r w:rsidR="00E33C81">
        <w:t>international TEFL instruction.</w:t>
      </w:r>
    </w:p>
    <w:p w:rsidR="00E33C81" w:rsidRDefault="00E33C81" w:rsidP="008F0962">
      <w:pPr>
        <w:ind w:left="720"/>
      </w:pPr>
    </w:p>
    <w:p w:rsidR="00C411D6" w:rsidRDefault="00B90E94" w:rsidP="00B90E94">
      <w:pPr>
        <w:numPr>
          <w:ilvl w:val="0"/>
          <w:numId w:val="1"/>
        </w:numPr>
      </w:pPr>
      <w:r>
        <w:t xml:space="preserve">Currently, </w:t>
      </w:r>
      <w:r w:rsidR="00C411D6">
        <w:t>only two institutions in the Oregon University System offer an Applied Linguistics/TEFL Certifica</w:t>
      </w:r>
      <w:r>
        <w:t xml:space="preserve">te that is geared toward </w:t>
      </w:r>
      <w:r w:rsidR="00C411D6">
        <w:t xml:space="preserve">undergraduate or post-baccalaureate students seeking TEFL qualifications for teaching English abroad. Both of these programs (University of Oregon and at Portland State University) provide certificates that are co-extensive with undergraduate and/or graduate majors in Linguistics/Applied Linguistics. </w:t>
      </w:r>
    </w:p>
    <w:p w:rsidR="00C411D6" w:rsidRDefault="00C411D6" w:rsidP="008F0962">
      <w:pPr>
        <w:pStyle w:val="ListParagraph"/>
      </w:pPr>
    </w:p>
    <w:p w:rsidR="0079274D" w:rsidRDefault="00CB13B8" w:rsidP="008F0962">
      <w:pPr>
        <w:ind w:left="720"/>
      </w:pPr>
      <w:r>
        <w:t>At University of Oregon</w:t>
      </w:r>
      <w:r w:rsidR="00F465AB">
        <w:t>, the certificate in Second Language Teaching</w:t>
      </w:r>
      <w:r w:rsidR="00B90E94">
        <w:t xml:space="preserve"> requires </w:t>
      </w:r>
      <w:r>
        <w:t>a 24</w:t>
      </w:r>
      <w:r w:rsidR="00F465AB">
        <w:t xml:space="preserve">-28 credit </w:t>
      </w:r>
      <w:r>
        <w:t>program</w:t>
      </w:r>
      <w:r w:rsidR="00B90E94">
        <w:t xml:space="preserve"> of courses</w:t>
      </w:r>
      <w:r>
        <w:t>, divided into 12 hours of Teaching and Learning courses, and 12 hours of Language courses, plus a 2-4 hour practicum experience.</w:t>
      </w:r>
    </w:p>
    <w:p w:rsidR="00C411D6" w:rsidRDefault="00C411D6" w:rsidP="008F0962">
      <w:pPr>
        <w:pStyle w:val="ListParagraph"/>
      </w:pPr>
    </w:p>
    <w:p w:rsidR="00CB13B8" w:rsidRDefault="00F465AB" w:rsidP="00AB55DA">
      <w:pPr>
        <w:ind w:left="720"/>
      </w:pPr>
      <w:r>
        <w:t xml:space="preserve">At PSU, in addition to </w:t>
      </w:r>
      <w:r w:rsidR="00AB55DA">
        <w:t xml:space="preserve">32 credits of </w:t>
      </w:r>
      <w:r>
        <w:t xml:space="preserve">methodology </w:t>
      </w:r>
      <w:r w:rsidR="00CB13B8">
        <w:t xml:space="preserve">and language </w:t>
      </w:r>
      <w:r>
        <w:t xml:space="preserve">courses, the </w:t>
      </w:r>
      <w:r w:rsidR="00CB13B8">
        <w:t xml:space="preserve">PSU </w:t>
      </w:r>
      <w:r>
        <w:t xml:space="preserve">certificate program requires 8 credits in </w:t>
      </w:r>
      <w:r w:rsidR="00AB55DA">
        <w:t>program development courses: curriculum/</w:t>
      </w:r>
      <w:r>
        <w:t xml:space="preserve">materials development and </w:t>
      </w:r>
      <w:r w:rsidR="00AB55DA">
        <w:t xml:space="preserve">assessment. </w:t>
      </w:r>
      <w:r w:rsidR="00CB13B8">
        <w:t xml:space="preserve"> </w:t>
      </w:r>
    </w:p>
    <w:p w:rsidR="009D44E6" w:rsidRDefault="009D44E6" w:rsidP="008F0962"/>
    <w:p w:rsidR="00CB13B8" w:rsidRDefault="00CB13B8" w:rsidP="008F0962"/>
    <w:p w:rsidR="00CB13B8" w:rsidRDefault="00CB13B8" w:rsidP="008F0962"/>
    <w:p w:rsidR="009D44E6" w:rsidRDefault="009D44E6" w:rsidP="008F0962">
      <w:pPr>
        <w:pStyle w:val="ListParagraph"/>
      </w:pPr>
    </w:p>
    <w:p w:rsidR="00C411D6" w:rsidRDefault="00C411D6" w:rsidP="003E3777">
      <w:pPr>
        <w:pStyle w:val="ListParagraph"/>
        <w:jc w:val="center"/>
      </w:pPr>
      <w:r>
        <w:t>Comparison of TEFL/TESL Certificate programs in the OUS</w:t>
      </w:r>
    </w:p>
    <w:tbl>
      <w:tblPr>
        <w:tblpPr w:leftFromText="180" w:rightFromText="180" w:vertAnchor="text" w:horzAnchor="margin" w:tblpXSpec="center" w:tblpY="152"/>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47"/>
        <w:gridCol w:w="1272"/>
        <w:gridCol w:w="1949"/>
        <w:gridCol w:w="1080"/>
        <w:gridCol w:w="3060"/>
      </w:tblGrid>
      <w:tr w:rsidR="005A342F" w:rsidRPr="00FC14CB" w:rsidTr="005A342F">
        <w:tc>
          <w:tcPr>
            <w:tcW w:w="1747" w:type="dxa"/>
            <w:tcBorders>
              <w:top w:val="nil"/>
              <w:left w:val="nil"/>
            </w:tcBorders>
          </w:tcPr>
          <w:p w:rsidR="005A342F" w:rsidRPr="00E51CCE" w:rsidRDefault="005A342F" w:rsidP="008F0962">
            <w:pPr>
              <w:tabs>
                <w:tab w:val="center" w:pos="4320"/>
                <w:tab w:val="right" w:pos="8640"/>
              </w:tabs>
              <w:rPr>
                <w:sz w:val="20"/>
                <w:szCs w:val="20"/>
              </w:rPr>
            </w:pPr>
          </w:p>
        </w:tc>
        <w:tc>
          <w:tcPr>
            <w:tcW w:w="1272" w:type="dxa"/>
          </w:tcPr>
          <w:p w:rsidR="005A342F" w:rsidRPr="00E51CCE" w:rsidRDefault="005A342F" w:rsidP="008F0962">
            <w:pPr>
              <w:tabs>
                <w:tab w:val="center" w:pos="4320"/>
                <w:tab w:val="right" w:pos="8640"/>
              </w:tabs>
              <w:rPr>
                <w:sz w:val="20"/>
                <w:szCs w:val="20"/>
              </w:rPr>
            </w:pPr>
            <w:r w:rsidRPr="00E51CCE">
              <w:rPr>
                <w:sz w:val="20"/>
                <w:szCs w:val="20"/>
              </w:rPr>
              <w:t>credits</w:t>
            </w:r>
          </w:p>
        </w:tc>
        <w:tc>
          <w:tcPr>
            <w:tcW w:w="1949" w:type="dxa"/>
          </w:tcPr>
          <w:p w:rsidR="005A342F" w:rsidRPr="00E51CCE" w:rsidRDefault="005A342F" w:rsidP="008F0962">
            <w:pPr>
              <w:tabs>
                <w:tab w:val="center" w:pos="4320"/>
                <w:tab w:val="right" w:pos="8640"/>
              </w:tabs>
              <w:rPr>
                <w:sz w:val="20"/>
                <w:szCs w:val="20"/>
              </w:rPr>
            </w:pPr>
            <w:r w:rsidRPr="00E51CCE">
              <w:rPr>
                <w:sz w:val="20"/>
                <w:szCs w:val="20"/>
              </w:rPr>
              <w:t>Degree</w:t>
            </w:r>
          </w:p>
        </w:tc>
        <w:tc>
          <w:tcPr>
            <w:tcW w:w="1080" w:type="dxa"/>
          </w:tcPr>
          <w:p w:rsidR="005A342F" w:rsidRPr="00E51CCE" w:rsidRDefault="005A342F" w:rsidP="008F0962">
            <w:pPr>
              <w:tabs>
                <w:tab w:val="center" w:pos="4320"/>
                <w:tab w:val="right" w:pos="8640"/>
              </w:tabs>
              <w:rPr>
                <w:sz w:val="20"/>
                <w:szCs w:val="20"/>
              </w:rPr>
            </w:pPr>
            <w:r w:rsidRPr="00E51CCE">
              <w:rPr>
                <w:sz w:val="20"/>
                <w:szCs w:val="20"/>
              </w:rPr>
              <w:t>Post-</w:t>
            </w:r>
            <w:proofErr w:type="spellStart"/>
            <w:r w:rsidRPr="00E51CCE">
              <w:rPr>
                <w:sz w:val="20"/>
                <w:szCs w:val="20"/>
              </w:rPr>
              <w:t>Bac</w:t>
            </w:r>
            <w:proofErr w:type="spellEnd"/>
          </w:p>
        </w:tc>
        <w:tc>
          <w:tcPr>
            <w:tcW w:w="3060" w:type="dxa"/>
          </w:tcPr>
          <w:p w:rsidR="005A342F" w:rsidRPr="00E51CCE" w:rsidRDefault="005A342F" w:rsidP="008F0962">
            <w:pPr>
              <w:tabs>
                <w:tab w:val="center" w:pos="4320"/>
                <w:tab w:val="right" w:pos="8640"/>
              </w:tabs>
              <w:rPr>
                <w:sz w:val="20"/>
                <w:szCs w:val="20"/>
              </w:rPr>
            </w:pPr>
            <w:r w:rsidRPr="00E51CCE">
              <w:rPr>
                <w:sz w:val="20"/>
                <w:szCs w:val="20"/>
              </w:rPr>
              <w:t>Affiliated Dept</w:t>
            </w:r>
          </w:p>
        </w:tc>
      </w:tr>
      <w:tr w:rsidR="005A342F" w:rsidRPr="00FC14CB" w:rsidTr="005A342F">
        <w:tc>
          <w:tcPr>
            <w:tcW w:w="1747" w:type="dxa"/>
          </w:tcPr>
          <w:p w:rsidR="005A342F" w:rsidRPr="00E51CCE" w:rsidRDefault="005A342F" w:rsidP="008F0962">
            <w:pPr>
              <w:tabs>
                <w:tab w:val="center" w:pos="4320"/>
                <w:tab w:val="right" w:pos="8640"/>
              </w:tabs>
              <w:rPr>
                <w:sz w:val="20"/>
                <w:szCs w:val="20"/>
              </w:rPr>
            </w:pPr>
            <w:r w:rsidRPr="00E51CCE">
              <w:rPr>
                <w:sz w:val="20"/>
                <w:szCs w:val="20"/>
              </w:rPr>
              <w:t>PSU</w:t>
            </w:r>
          </w:p>
          <w:p w:rsidR="005A342F" w:rsidRPr="00E51CCE" w:rsidRDefault="005A342F" w:rsidP="008F0962">
            <w:pPr>
              <w:tabs>
                <w:tab w:val="center" w:pos="4320"/>
                <w:tab w:val="right" w:pos="8640"/>
              </w:tabs>
              <w:rPr>
                <w:sz w:val="20"/>
                <w:szCs w:val="20"/>
              </w:rPr>
            </w:pPr>
          </w:p>
        </w:tc>
        <w:tc>
          <w:tcPr>
            <w:tcW w:w="1272" w:type="dxa"/>
          </w:tcPr>
          <w:p w:rsidR="005A342F" w:rsidRPr="00E51CCE" w:rsidRDefault="005A342F" w:rsidP="008F0962">
            <w:pPr>
              <w:tabs>
                <w:tab w:val="center" w:pos="4320"/>
                <w:tab w:val="right" w:pos="8640"/>
              </w:tabs>
              <w:rPr>
                <w:sz w:val="20"/>
                <w:szCs w:val="20"/>
              </w:rPr>
            </w:pPr>
            <w:r w:rsidRPr="00E51CCE">
              <w:rPr>
                <w:sz w:val="20"/>
                <w:szCs w:val="20"/>
              </w:rPr>
              <w:t>40</w:t>
            </w:r>
          </w:p>
        </w:tc>
        <w:tc>
          <w:tcPr>
            <w:tcW w:w="1949" w:type="dxa"/>
          </w:tcPr>
          <w:p w:rsidR="005A342F" w:rsidRPr="00E51CCE" w:rsidRDefault="005A342F" w:rsidP="008F0962">
            <w:pPr>
              <w:tabs>
                <w:tab w:val="center" w:pos="4320"/>
                <w:tab w:val="right" w:pos="8640"/>
              </w:tabs>
              <w:rPr>
                <w:sz w:val="20"/>
                <w:szCs w:val="20"/>
              </w:rPr>
            </w:pPr>
            <w:r w:rsidRPr="00E51CCE">
              <w:rPr>
                <w:sz w:val="20"/>
                <w:szCs w:val="20"/>
              </w:rPr>
              <w:t>B.A</w:t>
            </w:r>
            <w:proofErr w:type="gramStart"/>
            <w:r w:rsidRPr="00E51CCE">
              <w:rPr>
                <w:sz w:val="20"/>
                <w:szCs w:val="20"/>
              </w:rPr>
              <w:t>./</w:t>
            </w:r>
            <w:proofErr w:type="gramEnd"/>
            <w:r w:rsidRPr="00E51CCE">
              <w:rPr>
                <w:sz w:val="20"/>
                <w:szCs w:val="20"/>
              </w:rPr>
              <w:t>B.S.</w:t>
            </w:r>
          </w:p>
          <w:p w:rsidR="005A342F" w:rsidRPr="00E51CCE" w:rsidRDefault="005A342F" w:rsidP="008F0962">
            <w:pPr>
              <w:tabs>
                <w:tab w:val="center" w:pos="4320"/>
                <w:tab w:val="right" w:pos="8640"/>
              </w:tabs>
              <w:rPr>
                <w:sz w:val="20"/>
                <w:szCs w:val="20"/>
              </w:rPr>
            </w:pPr>
            <w:r w:rsidRPr="00E51CCE">
              <w:rPr>
                <w:sz w:val="20"/>
                <w:szCs w:val="20"/>
              </w:rPr>
              <w:t>Plus Certificate</w:t>
            </w:r>
          </w:p>
        </w:tc>
        <w:tc>
          <w:tcPr>
            <w:tcW w:w="1080" w:type="dxa"/>
          </w:tcPr>
          <w:p w:rsidR="005A342F" w:rsidRPr="00E51CCE" w:rsidRDefault="005A342F" w:rsidP="008F0962">
            <w:pPr>
              <w:tabs>
                <w:tab w:val="center" w:pos="4320"/>
                <w:tab w:val="right" w:pos="8640"/>
              </w:tabs>
              <w:rPr>
                <w:sz w:val="20"/>
                <w:szCs w:val="20"/>
              </w:rPr>
            </w:pPr>
            <w:r w:rsidRPr="00E51CCE">
              <w:rPr>
                <w:sz w:val="20"/>
                <w:szCs w:val="20"/>
              </w:rPr>
              <w:t>yes</w:t>
            </w:r>
          </w:p>
        </w:tc>
        <w:tc>
          <w:tcPr>
            <w:tcW w:w="3060" w:type="dxa"/>
          </w:tcPr>
          <w:p w:rsidR="005A342F" w:rsidRPr="00E51CCE" w:rsidRDefault="005A342F" w:rsidP="008F0962">
            <w:pPr>
              <w:tabs>
                <w:tab w:val="center" w:pos="4320"/>
                <w:tab w:val="right" w:pos="8640"/>
              </w:tabs>
              <w:rPr>
                <w:sz w:val="20"/>
                <w:szCs w:val="20"/>
              </w:rPr>
            </w:pPr>
            <w:r w:rsidRPr="00E51CCE">
              <w:rPr>
                <w:sz w:val="20"/>
                <w:szCs w:val="20"/>
              </w:rPr>
              <w:t>Applied Linguistics</w:t>
            </w:r>
          </w:p>
        </w:tc>
      </w:tr>
      <w:tr w:rsidR="005A342F" w:rsidRPr="00FC14CB" w:rsidTr="005A342F">
        <w:tc>
          <w:tcPr>
            <w:tcW w:w="1747" w:type="dxa"/>
          </w:tcPr>
          <w:p w:rsidR="005A342F" w:rsidRPr="00E51CCE" w:rsidRDefault="005A342F" w:rsidP="008F0962">
            <w:pPr>
              <w:tabs>
                <w:tab w:val="center" w:pos="4320"/>
                <w:tab w:val="right" w:pos="8640"/>
              </w:tabs>
              <w:rPr>
                <w:sz w:val="20"/>
                <w:szCs w:val="20"/>
              </w:rPr>
            </w:pPr>
            <w:r w:rsidRPr="00E51CCE">
              <w:rPr>
                <w:sz w:val="20"/>
                <w:szCs w:val="20"/>
              </w:rPr>
              <w:t>U of O</w:t>
            </w:r>
          </w:p>
        </w:tc>
        <w:tc>
          <w:tcPr>
            <w:tcW w:w="1272" w:type="dxa"/>
          </w:tcPr>
          <w:p w:rsidR="005A342F" w:rsidRPr="00E51CCE" w:rsidRDefault="005A342F" w:rsidP="008F0962">
            <w:pPr>
              <w:tabs>
                <w:tab w:val="center" w:pos="4320"/>
                <w:tab w:val="right" w:pos="8640"/>
              </w:tabs>
              <w:rPr>
                <w:sz w:val="20"/>
                <w:szCs w:val="20"/>
              </w:rPr>
            </w:pPr>
            <w:r>
              <w:rPr>
                <w:sz w:val="20"/>
                <w:szCs w:val="20"/>
              </w:rPr>
              <w:t>26</w:t>
            </w:r>
          </w:p>
        </w:tc>
        <w:tc>
          <w:tcPr>
            <w:tcW w:w="1949" w:type="dxa"/>
          </w:tcPr>
          <w:p w:rsidR="005A342F" w:rsidRPr="00E51CCE" w:rsidRDefault="005A342F" w:rsidP="008F0962">
            <w:pPr>
              <w:tabs>
                <w:tab w:val="center" w:pos="4320"/>
                <w:tab w:val="right" w:pos="8640"/>
              </w:tabs>
              <w:rPr>
                <w:sz w:val="20"/>
                <w:szCs w:val="20"/>
              </w:rPr>
            </w:pPr>
            <w:r w:rsidRPr="00E51CCE">
              <w:rPr>
                <w:sz w:val="20"/>
                <w:szCs w:val="20"/>
              </w:rPr>
              <w:t>B.A</w:t>
            </w:r>
            <w:proofErr w:type="gramStart"/>
            <w:r w:rsidRPr="00E51CCE">
              <w:rPr>
                <w:sz w:val="20"/>
                <w:szCs w:val="20"/>
              </w:rPr>
              <w:t>./</w:t>
            </w:r>
            <w:proofErr w:type="gramEnd"/>
            <w:r w:rsidRPr="00E51CCE">
              <w:rPr>
                <w:sz w:val="20"/>
                <w:szCs w:val="20"/>
              </w:rPr>
              <w:t>B.S.</w:t>
            </w:r>
          </w:p>
          <w:p w:rsidR="005A342F" w:rsidRPr="00E51CCE" w:rsidRDefault="005A342F" w:rsidP="008F0962">
            <w:pPr>
              <w:tabs>
                <w:tab w:val="center" w:pos="4320"/>
                <w:tab w:val="right" w:pos="8640"/>
              </w:tabs>
              <w:rPr>
                <w:sz w:val="20"/>
                <w:szCs w:val="20"/>
              </w:rPr>
            </w:pPr>
            <w:r w:rsidRPr="00E51CCE">
              <w:rPr>
                <w:sz w:val="20"/>
                <w:szCs w:val="20"/>
              </w:rPr>
              <w:t>Plus Certificate</w:t>
            </w:r>
          </w:p>
        </w:tc>
        <w:tc>
          <w:tcPr>
            <w:tcW w:w="1080" w:type="dxa"/>
          </w:tcPr>
          <w:p w:rsidR="005A342F" w:rsidRPr="00E51CCE" w:rsidRDefault="005A342F" w:rsidP="008F0962">
            <w:pPr>
              <w:tabs>
                <w:tab w:val="center" w:pos="4320"/>
                <w:tab w:val="right" w:pos="8640"/>
              </w:tabs>
              <w:rPr>
                <w:sz w:val="20"/>
                <w:szCs w:val="20"/>
              </w:rPr>
            </w:pPr>
            <w:r w:rsidRPr="00E51CCE">
              <w:rPr>
                <w:sz w:val="20"/>
                <w:szCs w:val="20"/>
              </w:rPr>
              <w:t>yes</w:t>
            </w:r>
          </w:p>
        </w:tc>
        <w:tc>
          <w:tcPr>
            <w:tcW w:w="3060" w:type="dxa"/>
          </w:tcPr>
          <w:p w:rsidR="005A342F" w:rsidRPr="00E51CCE" w:rsidRDefault="005A342F" w:rsidP="008F0962">
            <w:pPr>
              <w:tabs>
                <w:tab w:val="center" w:pos="4320"/>
                <w:tab w:val="right" w:pos="8640"/>
              </w:tabs>
              <w:rPr>
                <w:sz w:val="20"/>
                <w:szCs w:val="20"/>
              </w:rPr>
            </w:pPr>
            <w:r w:rsidRPr="00E51CCE">
              <w:rPr>
                <w:sz w:val="20"/>
                <w:szCs w:val="20"/>
              </w:rPr>
              <w:t>Linguistics</w:t>
            </w:r>
          </w:p>
          <w:p w:rsidR="005A342F" w:rsidRPr="00E51CCE" w:rsidRDefault="005A342F" w:rsidP="008F0962">
            <w:pPr>
              <w:tabs>
                <w:tab w:val="center" w:pos="4320"/>
                <w:tab w:val="right" w:pos="8640"/>
              </w:tabs>
              <w:rPr>
                <w:sz w:val="20"/>
                <w:szCs w:val="20"/>
              </w:rPr>
            </w:pPr>
          </w:p>
        </w:tc>
      </w:tr>
      <w:tr w:rsidR="005A342F" w:rsidRPr="00FC14CB" w:rsidTr="005A342F">
        <w:tc>
          <w:tcPr>
            <w:tcW w:w="1747" w:type="dxa"/>
          </w:tcPr>
          <w:p w:rsidR="005A342F" w:rsidRPr="00E51CCE" w:rsidRDefault="005A342F" w:rsidP="008F0962">
            <w:pPr>
              <w:tabs>
                <w:tab w:val="center" w:pos="4320"/>
                <w:tab w:val="right" w:pos="8640"/>
              </w:tabs>
              <w:rPr>
                <w:b/>
                <w:bCs/>
                <w:sz w:val="20"/>
                <w:szCs w:val="20"/>
              </w:rPr>
            </w:pPr>
            <w:r w:rsidRPr="00E51CCE">
              <w:rPr>
                <w:b/>
                <w:bCs/>
                <w:sz w:val="20"/>
                <w:szCs w:val="20"/>
              </w:rPr>
              <w:t>WOU</w:t>
            </w:r>
          </w:p>
          <w:p w:rsidR="005A342F" w:rsidRPr="00E51CCE" w:rsidRDefault="005A342F" w:rsidP="008F0962">
            <w:pPr>
              <w:tabs>
                <w:tab w:val="center" w:pos="4320"/>
                <w:tab w:val="right" w:pos="8640"/>
              </w:tabs>
              <w:rPr>
                <w:b/>
                <w:bCs/>
                <w:sz w:val="20"/>
                <w:szCs w:val="20"/>
              </w:rPr>
            </w:pPr>
            <w:r w:rsidRPr="00E51CCE">
              <w:rPr>
                <w:b/>
                <w:bCs/>
                <w:sz w:val="20"/>
                <w:szCs w:val="20"/>
              </w:rPr>
              <w:t xml:space="preserve">TEFL </w:t>
            </w:r>
          </w:p>
        </w:tc>
        <w:tc>
          <w:tcPr>
            <w:tcW w:w="1272" w:type="dxa"/>
          </w:tcPr>
          <w:p w:rsidR="005A342F" w:rsidRPr="00E51CCE" w:rsidRDefault="005A342F" w:rsidP="008F0962">
            <w:pPr>
              <w:tabs>
                <w:tab w:val="center" w:pos="4320"/>
                <w:tab w:val="right" w:pos="8640"/>
              </w:tabs>
              <w:rPr>
                <w:sz w:val="20"/>
                <w:szCs w:val="20"/>
              </w:rPr>
            </w:pPr>
            <w:r w:rsidRPr="00E51CCE">
              <w:rPr>
                <w:sz w:val="20"/>
                <w:szCs w:val="20"/>
              </w:rPr>
              <w:t>26</w:t>
            </w:r>
          </w:p>
          <w:p w:rsidR="005A342F" w:rsidRPr="00E51CCE" w:rsidRDefault="005A342F" w:rsidP="008F0962">
            <w:pPr>
              <w:tabs>
                <w:tab w:val="center" w:pos="4320"/>
                <w:tab w:val="right" w:pos="8640"/>
              </w:tabs>
              <w:rPr>
                <w:sz w:val="20"/>
                <w:szCs w:val="20"/>
              </w:rPr>
            </w:pPr>
          </w:p>
        </w:tc>
        <w:tc>
          <w:tcPr>
            <w:tcW w:w="1949" w:type="dxa"/>
          </w:tcPr>
          <w:p w:rsidR="005A342F" w:rsidRPr="00E51CCE" w:rsidRDefault="005A342F" w:rsidP="008F0962">
            <w:pPr>
              <w:tabs>
                <w:tab w:val="center" w:pos="4320"/>
                <w:tab w:val="right" w:pos="8640"/>
              </w:tabs>
              <w:rPr>
                <w:sz w:val="20"/>
                <w:szCs w:val="20"/>
              </w:rPr>
            </w:pPr>
            <w:r w:rsidRPr="00E51CCE">
              <w:rPr>
                <w:sz w:val="20"/>
                <w:szCs w:val="20"/>
              </w:rPr>
              <w:t>B.A</w:t>
            </w:r>
            <w:proofErr w:type="gramStart"/>
            <w:r w:rsidRPr="00E51CCE">
              <w:rPr>
                <w:sz w:val="20"/>
                <w:szCs w:val="20"/>
              </w:rPr>
              <w:t>./</w:t>
            </w:r>
            <w:proofErr w:type="gramEnd"/>
            <w:r w:rsidRPr="00E51CCE">
              <w:rPr>
                <w:sz w:val="20"/>
                <w:szCs w:val="20"/>
              </w:rPr>
              <w:t>B.S.</w:t>
            </w:r>
          </w:p>
          <w:p w:rsidR="005A342F" w:rsidRPr="00E51CCE" w:rsidRDefault="005A342F" w:rsidP="008F0962">
            <w:pPr>
              <w:tabs>
                <w:tab w:val="center" w:pos="4320"/>
                <w:tab w:val="right" w:pos="8640"/>
              </w:tabs>
              <w:rPr>
                <w:sz w:val="20"/>
                <w:szCs w:val="20"/>
              </w:rPr>
            </w:pPr>
            <w:r w:rsidRPr="00E51CCE">
              <w:rPr>
                <w:sz w:val="20"/>
                <w:szCs w:val="20"/>
              </w:rPr>
              <w:t>Plus Certificate</w:t>
            </w:r>
          </w:p>
        </w:tc>
        <w:tc>
          <w:tcPr>
            <w:tcW w:w="1080" w:type="dxa"/>
          </w:tcPr>
          <w:p w:rsidR="005A342F" w:rsidRPr="00E51CCE" w:rsidRDefault="005A342F" w:rsidP="008F0962">
            <w:pPr>
              <w:tabs>
                <w:tab w:val="center" w:pos="4320"/>
                <w:tab w:val="right" w:pos="8640"/>
              </w:tabs>
              <w:rPr>
                <w:sz w:val="20"/>
                <w:szCs w:val="20"/>
              </w:rPr>
            </w:pPr>
            <w:r w:rsidRPr="00E51CCE">
              <w:rPr>
                <w:sz w:val="20"/>
                <w:szCs w:val="20"/>
              </w:rPr>
              <w:t>yes</w:t>
            </w:r>
          </w:p>
        </w:tc>
        <w:tc>
          <w:tcPr>
            <w:tcW w:w="3060" w:type="dxa"/>
          </w:tcPr>
          <w:p w:rsidR="005A342F" w:rsidRPr="00E51CCE" w:rsidRDefault="005A342F" w:rsidP="008F0962">
            <w:pPr>
              <w:tabs>
                <w:tab w:val="center" w:pos="4320"/>
                <w:tab w:val="right" w:pos="8640"/>
              </w:tabs>
              <w:rPr>
                <w:sz w:val="20"/>
                <w:szCs w:val="20"/>
              </w:rPr>
            </w:pPr>
            <w:r w:rsidRPr="00E51CCE">
              <w:rPr>
                <w:sz w:val="20"/>
                <w:szCs w:val="20"/>
              </w:rPr>
              <w:t>Department of English, Writing and Linguistics</w:t>
            </w:r>
          </w:p>
        </w:tc>
      </w:tr>
      <w:tr w:rsidR="005A342F" w:rsidTr="005A342F">
        <w:tc>
          <w:tcPr>
            <w:tcW w:w="1747" w:type="dxa"/>
          </w:tcPr>
          <w:p w:rsidR="005A342F" w:rsidRPr="00E51CCE" w:rsidRDefault="005A342F" w:rsidP="008F0962">
            <w:pPr>
              <w:tabs>
                <w:tab w:val="center" w:pos="4320"/>
                <w:tab w:val="right" w:pos="8640"/>
              </w:tabs>
              <w:rPr>
                <w:sz w:val="20"/>
                <w:szCs w:val="20"/>
              </w:rPr>
            </w:pPr>
            <w:r w:rsidRPr="00E51CCE">
              <w:rPr>
                <w:sz w:val="20"/>
                <w:szCs w:val="20"/>
              </w:rPr>
              <w:t>OSU</w:t>
            </w:r>
          </w:p>
          <w:p w:rsidR="005A342F" w:rsidRPr="00E51CCE" w:rsidRDefault="005A342F" w:rsidP="003E3777">
            <w:pPr>
              <w:tabs>
                <w:tab w:val="center" w:pos="4320"/>
                <w:tab w:val="right" w:pos="8640"/>
              </w:tabs>
              <w:rPr>
                <w:sz w:val="20"/>
                <w:szCs w:val="20"/>
              </w:rPr>
            </w:pPr>
            <w:r w:rsidRPr="00E51CCE">
              <w:rPr>
                <w:sz w:val="20"/>
                <w:szCs w:val="20"/>
              </w:rPr>
              <w:t>n</w:t>
            </w:r>
            <w:r w:rsidR="003E3777">
              <w:rPr>
                <w:sz w:val="20"/>
                <w:szCs w:val="20"/>
              </w:rPr>
              <w:t>o</w:t>
            </w:r>
          </w:p>
        </w:tc>
        <w:tc>
          <w:tcPr>
            <w:tcW w:w="1272" w:type="dxa"/>
          </w:tcPr>
          <w:p w:rsidR="005A342F" w:rsidRPr="00E51CCE" w:rsidRDefault="005A342F" w:rsidP="008F0962">
            <w:pPr>
              <w:tabs>
                <w:tab w:val="center" w:pos="4320"/>
                <w:tab w:val="right" w:pos="8640"/>
              </w:tabs>
              <w:rPr>
                <w:sz w:val="20"/>
                <w:szCs w:val="20"/>
              </w:rPr>
            </w:pPr>
          </w:p>
        </w:tc>
        <w:tc>
          <w:tcPr>
            <w:tcW w:w="1949" w:type="dxa"/>
          </w:tcPr>
          <w:p w:rsidR="005A342F" w:rsidRPr="00E51CCE" w:rsidRDefault="005A342F" w:rsidP="008F0962">
            <w:pPr>
              <w:tabs>
                <w:tab w:val="center" w:pos="4320"/>
                <w:tab w:val="right" w:pos="8640"/>
              </w:tabs>
              <w:rPr>
                <w:sz w:val="20"/>
                <w:szCs w:val="20"/>
              </w:rPr>
            </w:pPr>
          </w:p>
        </w:tc>
        <w:tc>
          <w:tcPr>
            <w:tcW w:w="1080" w:type="dxa"/>
          </w:tcPr>
          <w:p w:rsidR="005A342F" w:rsidRPr="00E51CCE" w:rsidRDefault="005A342F" w:rsidP="008F0962">
            <w:pPr>
              <w:tabs>
                <w:tab w:val="center" w:pos="4320"/>
                <w:tab w:val="right" w:pos="8640"/>
              </w:tabs>
              <w:rPr>
                <w:sz w:val="20"/>
                <w:szCs w:val="20"/>
              </w:rPr>
            </w:pPr>
          </w:p>
        </w:tc>
        <w:tc>
          <w:tcPr>
            <w:tcW w:w="3060" w:type="dxa"/>
          </w:tcPr>
          <w:p w:rsidR="005A342F" w:rsidRPr="00E51CCE" w:rsidRDefault="005A342F" w:rsidP="008F0962">
            <w:pPr>
              <w:tabs>
                <w:tab w:val="center" w:pos="4320"/>
                <w:tab w:val="right" w:pos="8640"/>
              </w:tabs>
              <w:rPr>
                <w:sz w:val="20"/>
                <w:szCs w:val="20"/>
              </w:rPr>
            </w:pPr>
          </w:p>
        </w:tc>
      </w:tr>
      <w:tr w:rsidR="005A342F" w:rsidTr="005A342F">
        <w:tc>
          <w:tcPr>
            <w:tcW w:w="1747" w:type="dxa"/>
          </w:tcPr>
          <w:p w:rsidR="005A342F" w:rsidRPr="00E51CCE" w:rsidRDefault="005A342F" w:rsidP="008F0962">
            <w:pPr>
              <w:tabs>
                <w:tab w:val="center" w:pos="4320"/>
                <w:tab w:val="right" w:pos="8640"/>
              </w:tabs>
              <w:rPr>
                <w:sz w:val="20"/>
                <w:szCs w:val="20"/>
              </w:rPr>
            </w:pPr>
            <w:r w:rsidRPr="00E51CCE">
              <w:rPr>
                <w:sz w:val="20"/>
                <w:szCs w:val="20"/>
              </w:rPr>
              <w:t>SOU</w:t>
            </w:r>
          </w:p>
          <w:p w:rsidR="005A342F" w:rsidRPr="00E51CCE" w:rsidRDefault="005A342F" w:rsidP="003E3777">
            <w:pPr>
              <w:tabs>
                <w:tab w:val="center" w:pos="4320"/>
                <w:tab w:val="right" w:pos="8640"/>
              </w:tabs>
              <w:rPr>
                <w:sz w:val="20"/>
                <w:szCs w:val="20"/>
              </w:rPr>
            </w:pPr>
            <w:r w:rsidRPr="00E51CCE">
              <w:rPr>
                <w:sz w:val="20"/>
                <w:szCs w:val="20"/>
              </w:rPr>
              <w:t xml:space="preserve"> </w:t>
            </w:r>
            <w:r w:rsidR="003E3777">
              <w:rPr>
                <w:sz w:val="20"/>
                <w:szCs w:val="20"/>
              </w:rPr>
              <w:t>no</w:t>
            </w:r>
          </w:p>
        </w:tc>
        <w:tc>
          <w:tcPr>
            <w:tcW w:w="1272" w:type="dxa"/>
          </w:tcPr>
          <w:p w:rsidR="005A342F" w:rsidRPr="00E51CCE" w:rsidRDefault="005A342F" w:rsidP="008F0962">
            <w:pPr>
              <w:tabs>
                <w:tab w:val="center" w:pos="4320"/>
                <w:tab w:val="right" w:pos="8640"/>
              </w:tabs>
              <w:rPr>
                <w:sz w:val="20"/>
                <w:szCs w:val="20"/>
              </w:rPr>
            </w:pPr>
          </w:p>
        </w:tc>
        <w:tc>
          <w:tcPr>
            <w:tcW w:w="1949" w:type="dxa"/>
          </w:tcPr>
          <w:p w:rsidR="005A342F" w:rsidRPr="00E51CCE" w:rsidRDefault="005A342F" w:rsidP="008F0962">
            <w:pPr>
              <w:tabs>
                <w:tab w:val="center" w:pos="4320"/>
                <w:tab w:val="right" w:pos="8640"/>
              </w:tabs>
              <w:rPr>
                <w:sz w:val="20"/>
                <w:szCs w:val="20"/>
              </w:rPr>
            </w:pPr>
          </w:p>
        </w:tc>
        <w:tc>
          <w:tcPr>
            <w:tcW w:w="1080" w:type="dxa"/>
          </w:tcPr>
          <w:p w:rsidR="005A342F" w:rsidRPr="00E51CCE" w:rsidRDefault="005A342F" w:rsidP="008F0962">
            <w:pPr>
              <w:tabs>
                <w:tab w:val="center" w:pos="4320"/>
                <w:tab w:val="right" w:pos="8640"/>
              </w:tabs>
              <w:rPr>
                <w:sz w:val="20"/>
                <w:szCs w:val="20"/>
              </w:rPr>
            </w:pPr>
          </w:p>
        </w:tc>
        <w:tc>
          <w:tcPr>
            <w:tcW w:w="3060" w:type="dxa"/>
          </w:tcPr>
          <w:p w:rsidR="005A342F" w:rsidRPr="00E51CCE" w:rsidRDefault="005A342F" w:rsidP="008F0962">
            <w:pPr>
              <w:tabs>
                <w:tab w:val="center" w:pos="4320"/>
                <w:tab w:val="right" w:pos="8640"/>
              </w:tabs>
              <w:rPr>
                <w:sz w:val="20"/>
                <w:szCs w:val="20"/>
              </w:rPr>
            </w:pPr>
          </w:p>
        </w:tc>
      </w:tr>
      <w:tr w:rsidR="005A342F" w:rsidTr="005A342F">
        <w:tc>
          <w:tcPr>
            <w:tcW w:w="1747" w:type="dxa"/>
          </w:tcPr>
          <w:p w:rsidR="005A342F" w:rsidRPr="00E51CCE" w:rsidRDefault="005A342F" w:rsidP="008F0962">
            <w:pPr>
              <w:tabs>
                <w:tab w:val="center" w:pos="4320"/>
                <w:tab w:val="right" w:pos="8640"/>
              </w:tabs>
              <w:rPr>
                <w:sz w:val="20"/>
                <w:szCs w:val="20"/>
              </w:rPr>
            </w:pPr>
            <w:r w:rsidRPr="00E51CCE">
              <w:rPr>
                <w:sz w:val="20"/>
                <w:szCs w:val="20"/>
              </w:rPr>
              <w:t>EOU</w:t>
            </w:r>
          </w:p>
          <w:p w:rsidR="005A342F" w:rsidRPr="00E51CCE" w:rsidRDefault="003E3777" w:rsidP="008F0962">
            <w:pPr>
              <w:tabs>
                <w:tab w:val="center" w:pos="4320"/>
                <w:tab w:val="right" w:pos="8640"/>
              </w:tabs>
              <w:rPr>
                <w:sz w:val="20"/>
                <w:szCs w:val="20"/>
              </w:rPr>
            </w:pPr>
            <w:r>
              <w:rPr>
                <w:sz w:val="20"/>
                <w:szCs w:val="20"/>
              </w:rPr>
              <w:t>no</w:t>
            </w:r>
          </w:p>
        </w:tc>
        <w:tc>
          <w:tcPr>
            <w:tcW w:w="1272" w:type="dxa"/>
          </w:tcPr>
          <w:p w:rsidR="005A342F" w:rsidRPr="00E51CCE" w:rsidRDefault="005A342F" w:rsidP="008F0962">
            <w:pPr>
              <w:tabs>
                <w:tab w:val="center" w:pos="4320"/>
                <w:tab w:val="right" w:pos="8640"/>
              </w:tabs>
              <w:rPr>
                <w:sz w:val="20"/>
                <w:szCs w:val="20"/>
              </w:rPr>
            </w:pPr>
          </w:p>
        </w:tc>
        <w:tc>
          <w:tcPr>
            <w:tcW w:w="1949" w:type="dxa"/>
          </w:tcPr>
          <w:p w:rsidR="005A342F" w:rsidRPr="00E51CCE" w:rsidRDefault="005A342F" w:rsidP="008F0962">
            <w:pPr>
              <w:tabs>
                <w:tab w:val="center" w:pos="4320"/>
                <w:tab w:val="right" w:pos="8640"/>
              </w:tabs>
              <w:rPr>
                <w:sz w:val="20"/>
                <w:szCs w:val="20"/>
              </w:rPr>
            </w:pPr>
          </w:p>
        </w:tc>
        <w:tc>
          <w:tcPr>
            <w:tcW w:w="1080" w:type="dxa"/>
          </w:tcPr>
          <w:p w:rsidR="005A342F" w:rsidRPr="00E51CCE" w:rsidRDefault="005A342F" w:rsidP="008F0962">
            <w:pPr>
              <w:tabs>
                <w:tab w:val="center" w:pos="4320"/>
                <w:tab w:val="right" w:pos="8640"/>
              </w:tabs>
              <w:rPr>
                <w:sz w:val="20"/>
                <w:szCs w:val="20"/>
              </w:rPr>
            </w:pPr>
          </w:p>
        </w:tc>
        <w:tc>
          <w:tcPr>
            <w:tcW w:w="3060" w:type="dxa"/>
          </w:tcPr>
          <w:p w:rsidR="005A342F" w:rsidRPr="00E51CCE" w:rsidRDefault="005A342F" w:rsidP="008F0962">
            <w:pPr>
              <w:tabs>
                <w:tab w:val="center" w:pos="4320"/>
                <w:tab w:val="right" w:pos="8640"/>
              </w:tabs>
              <w:rPr>
                <w:sz w:val="20"/>
                <w:szCs w:val="20"/>
              </w:rPr>
            </w:pPr>
          </w:p>
        </w:tc>
      </w:tr>
    </w:tbl>
    <w:p w:rsidR="00FD5744" w:rsidRDefault="00FD5744" w:rsidP="008F0962"/>
    <w:p w:rsidR="00BA6C65" w:rsidRDefault="00BA6C65" w:rsidP="008F0962">
      <w:pPr>
        <w:pStyle w:val="ListParagraph"/>
      </w:pPr>
    </w:p>
    <w:p w:rsidR="00BA6C65" w:rsidRDefault="00BA6C65" w:rsidP="00AB55DA"/>
    <w:p w:rsidR="00C411D6" w:rsidRDefault="00C411D6" w:rsidP="008F0962">
      <w:pPr>
        <w:pStyle w:val="ListParagraph"/>
      </w:pPr>
      <w:r>
        <w:t>TERMS</w:t>
      </w:r>
    </w:p>
    <w:p w:rsidR="005A342F" w:rsidRDefault="005A342F" w:rsidP="008F0962">
      <w:pPr>
        <w:pStyle w:val="ListParagraph"/>
      </w:pPr>
    </w:p>
    <w:p w:rsidR="00C411D6" w:rsidRDefault="00C411D6" w:rsidP="00AB55DA">
      <w:pPr>
        <w:pStyle w:val="ListParagraph"/>
        <w:numPr>
          <w:ilvl w:val="1"/>
          <w:numId w:val="5"/>
        </w:numPr>
      </w:pPr>
      <w:r>
        <w:t xml:space="preserve">TEFL: Teaching English as a Foreign Language. In American usage, the term is typically used to describe the context of teaching English </w:t>
      </w:r>
      <w:r w:rsidR="00BA6C65">
        <w:t xml:space="preserve">in international contexts </w:t>
      </w:r>
      <w:r>
        <w:t>outside the United States, primarily to a</w:t>
      </w:r>
      <w:r w:rsidR="00E33C81">
        <w:t>dult and young adult learners. It m</w:t>
      </w:r>
      <w:r w:rsidR="00AB55DA">
        <w:t xml:space="preserve">ay or may not have </w:t>
      </w:r>
      <w:r>
        <w:t>academic English as its primary goal.</w:t>
      </w:r>
    </w:p>
    <w:p w:rsidR="00BA6C65" w:rsidRDefault="00BA6C65" w:rsidP="008F0962">
      <w:pPr>
        <w:pStyle w:val="ListParagraph"/>
        <w:numPr>
          <w:ilvl w:val="1"/>
          <w:numId w:val="5"/>
        </w:numPr>
      </w:pPr>
      <w:r>
        <w:t xml:space="preserve">TESL or ESL: Teaching English as </w:t>
      </w:r>
      <w:r w:rsidR="00AB55DA">
        <w:t xml:space="preserve">a Second Language. The </w:t>
      </w:r>
      <w:r w:rsidR="00E33C81">
        <w:t xml:space="preserve">term may be </w:t>
      </w:r>
      <w:r>
        <w:t xml:space="preserve">used for contexts described in TEFL above. The term is sometimes used to refer </w:t>
      </w:r>
      <w:r w:rsidR="00E33C81">
        <w:t xml:space="preserve">to </w:t>
      </w:r>
      <w:r>
        <w:t xml:space="preserve">domestic contexts described </w:t>
      </w:r>
      <w:r w:rsidR="00E33C81">
        <w:t xml:space="preserve">as ESOL </w:t>
      </w:r>
      <w:r>
        <w:t>below.</w:t>
      </w:r>
    </w:p>
    <w:p w:rsidR="00C411D6" w:rsidRDefault="00C411D6" w:rsidP="008F0962">
      <w:pPr>
        <w:pStyle w:val="ListParagraph"/>
        <w:numPr>
          <w:ilvl w:val="1"/>
          <w:numId w:val="5"/>
        </w:numPr>
      </w:pPr>
      <w:r>
        <w:t>ESOL/Bilingual: (English for Speakers of Other Languages). T</w:t>
      </w:r>
      <w:r w:rsidR="00AB55DA">
        <w:t>his t</w:t>
      </w:r>
      <w:r>
        <w:t xml:space="preserve">erm </w:t>
      </w:r>
      <w:r w:rsidR="00AB55DA">
        <w:t xml:space="preserve">is </w:t>
      </w:r>
      <w:r>
        <w:t xml:space="preserve">used in </w:t>
      </w:r>
      <w:r w:rsidR="00AB55DA">
        <w:t xml:space="preserve">the </w:t>
      </w:r>
      <w:r w:rsidR="00E33C81">
        <w:t>WOU College of Education f</w:t>
      </w:r>
      <w:r w:rsidR="00AB55DA">
        <w:t xml:space="preserve">or the Endorsement program (also widely used </w:t>
      </w:r>
      <w:r w:rsidR="00E33C81">
        <w:t>in programs elsewhere around the United States</w:t>
      </w:r>
      <w:r w:rsidR="00AB55DA">
        <w:t>)</w:t>
      </w:r>
      <w:r w:rsidR="00E33C81">
        <w:t xml:space="preserve">. </w:t>
      </w:r>
      <w:r w:rsidR="005A342F">
        <w:t xml:space="preserve">The term ESOL is </w:t>
      </w:r>
      <w:r w:rsidR="00E33C81">
        <w:t xml:space="preserve">here </w:t>
      </w:r>
      <w:r>
        <w:t xml:space="preserve">used to refer to English/Bilingual contexts </w:t>
      </w:r>
      <w:r w:rsidR="005A342F">
        <w:t>in Oregon schools K-12</w:t>
      </w:r>
      <w:r w:rsidR="00BA6C65">
        <w:t xml:space="preserve">. </w:t>
      </w:r>
    </w:p>
    <w:p w:rsidR="00BA6C65" w:rsidRDefault="00BA6C65" w:rsidP="008F0962">
      <w:pPr>
        <w:pStyle w:val="ListParagraph"/>
        <w:numPr>
          <w:ilvl w:val="1"/>
          <w:numId w:val="5"/>
        </w:numPr>
      </w:pPr>
      <w:r>
        <w:t>TEFL Certificate: A certification</w:t>
      </w:r>
      <w:r w:rsidR="005A342F">
        <w:t xml:space="preserve"> of completion for </w:t>
      </w:r>
      <w:r>
        <w:t>a specified set of courses focusing on foreign language acquisition and teaching</w:t>
      </w:r>
      <w:r w:rsidR="00E33C81">
        <w:t xml:space="preserve"> usually for adult/young adults</w:t>
      </w:r>
      <w:r>
        <w:t xml:space="preserve">. There is no standardized accrediting body for TEFL certificates. Program requirements vary widely between on-line certificates </w:t>
      </w:r>
      <w:r w:rsidR="00E33C81">
        <w:t xml:space="preserve">and certificates issued via </w:t>
      </w:r>
      <w:r>
        <w:t xml:space="preserve">university programs. </w:t>
      </w:r>
      <w:r w:rsidR="00E33C81">
        <w:t xml:space="preserve"> The WOU </w:t>
      </w:r>
      <w:r w:rsidR="003E3777">
        <w:t xml:space="preserve">certificate </w:t>
      </w:r>
      <w:r w:rsidR="00E33C81">
        <w:t>proposal is comparable to</w:t>
      </w:r>
      <w:r w:rsidR="003E3777">
        <w:t xml:space="preserve"> other the university programs in Oregon and around the U.S.</w:t>
      </w:r>
    </w:p>
    <w:sectPr w:rsidR="00BA6C65" w:rsidSect="00FD57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gLiU">
    <w:altName w:val="細明體"/>
    <w:panose1 w:val="02020309000000000000"/>
    <w:charset w:val="88"/>
    <w:family w:val="modern"/>
    <w:pitch w:val="fixed"/>
    <w:sig w:usb0="00000003" w:usb1="080E0000"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8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5EA5F02"/>
    <w:multiLevelType w:val="hybridMultilevel"/>
    <w:tmpl w:val="D588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332D8F"/>
    <w:multiLevelType w:val="hybridMultilevel"/>
    <w:tmpl w:val="3E3AB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C15734"/>
    <w:multiLevelType w:val="hybridMultilevel"/>
    <w:tmpl w:val="7E7492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F81BC4"/>
    <w:multiLevelType w:val="hybridMultilevel"/>
    <w:tmpl w:val="4EF45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useFELayout/>
  </w:compat>
  <w:rsids>
    <w:rsidRoot w:val="00C411D6"/>
    <w:rsid w:val="000966FB"/>
    <w:rsid w:val="00115FDE"/>
    <w:rsid w:val="00244DDF"/>
    <w:rsid w:val="003E3777"/>
    <w:rsid w:val="00505337"/>
    <w:rsid w:val="005A342F"/>
    <w:rsid w:val="0076494D"/>
    <w:rsid w:val="0079274D"/>
    <w:rsid w:val="008F0962"/>
    <w:rsid w:val="009C1552"/>
    <w:rsid w:val="009C314C"/>
    <w:rsid w:val="009D44E6"/>
    <w:rsid w:val="00AB55DA"/>
    <w:rsid w:val="00B90E94"/>
    <w:rsid w:val="00BA6C65"/>
    <w:rsid w:val="00C411D6"/>
    <w:rsid w:val="00CB13B8"/>
    <w:rsid w:val="00DE4FA8"/>
    <w:rsid w:val="00E33C81"/>
    <w:rsid w:val="00E6306D"/>
    <w:rsid w:val="00F02BD5"/>
    <w:rsid w:val="00F465AB"/>
    <w:rsid w:val="00FD5744"/>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1D6"/>
    <w:pPr>
      <w:spacing w:before="0" w:beforeAutospacing="0" w:after="0" w:afterAutospacing="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1D6"/>
    <w:pPr>
      <w:ind w:left="720"/>
    </w:pPr>
  </w:style>
  <w:style w:type="paragraph" w:styleId="NoSpacing">
    <w:name w:val="No Spacing"/>
    <w:uiPriority w:val="99"/>
    <w:qFormat/>
    <w:rsid w:val="00BA6C65"/>
    <w:pPr>
      <w:spacing w:before="0" w:beforeAutospacing="0" w:after="0" w:afterAutospacing="0"/>
    </w:pPr>
    <w:rPr>
      <w:rFonts w:ascii="Cambria" w:eastAsia="Cambria" w:hAnsi="Cambria"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hargred</dc:creator>
  <cp:keywords/>
  <dc:description/>
  <cp:lastModifiedBy>hargred</cp:lastModifiedBy>
  <cp:revision>6</cp:revision>
  <cp:lastPrinted>2010-10-28T21:24:00Z</cp:lastPrinted>
  <dcterms:created xsi:type="dcterms:W3CDTF">2010-10-25T16:29:00Z</dcterms:created>
  <dcterms:modified xsi:type="dcterms:W3CDTF">2010-10-28T21:57:00Z</dcterms:modified>
</cp:coreProperties>
</file>