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5" w:lineRule="auto" w:before="16"/>
        <w:ind w:left="3240" w:right="4479" w:firstLine="0"/>
        <w:jc w:val="center"/>
        <w:rPr>
          <w:b/>
          <w:sz w:val="24"/>
        </w:rPr>
      </w:pPr>
      <w:r>
        <w:rPr>
          <w:b/>
          <w:sz w:val="28"/>
        </w:rPr>
        <w:t>Faculty Senate Agenda June 9</w:t>
      </w:r>
      <w:r>
        <w:rPr>
          <w:b/>
          <w:position w:val="10"/>
          <w:sz w:val="18"/>
        </w:rPr>
        <w:t>th </w:t>
      </w:r>
      <w:r>
        <w:rPr>
          <w:b/>
          <w:sz w:val="28"/>
        </w:rPr>
        <w:t>2020, </w:t>
      </w:r>
      <w:r>
        <w:rPr>
          <w:b/>
          <w:sz w:val="24"/>
        </w:rPr>
        <w:t>Zoom</w:t>
      </w:r>
    </w:p>
    <w:p>
      <w:pPr>
        <w:spacing w:before="123"/>
        <w:ind w:left="2477" w:right="3719" w:firstLine="0"/>
        <w:jc w:val="center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pStyle w:val="BodyText"/>
        <w:ind w:left="100" w:firstLine="0"/>
      </w:pPr>
      <w:r>
        <w:rPr/>
        <w:t>Please provide your own access to this agenda and to all meeting documents</w:t>
      </w:r>
    </w:p>
    <w:p>
      <w:pPr>
        <w:pStyle w:val="Heading1"/>
        <w:spacing w:before="139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Heading1"/>
        <w:spacing w:before="137"/>
      </w:pPr>
      <w:r>
        <w:rPr/>
        <w:t>3:30 – 5 p.m. Note: we are using Zoom for this meeting.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8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2"/>
          <w:sz w:val="24"/>
        </w:rPr>
        <w:t> </w:t>
      </w:r>
      <w:r>
        <w:rPr>
          <w:sz w:val="24"/>
        </w:rPr>
        <w:t>sheet)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7"/>
          <w:sz w:val="24"/>
        </w:rPr>
        <w:t> </w:t>
      </w:r>
      <w:r>
        <w:rPr>
          <w:sz w:val="24"/>
        </w:rPr>
        <w:t>website)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2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7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0" w:after="0"/>
        <w:ind w:left="820" w:right="0" w:hanging="361"/>
        <w:jc w:val="left"/>
        <w:rPr>
          <w:sz w:val="24"/>
        </w:rPr>
      </w:pPr>
      <w:r>
        <w:rPr>
          <w:sz w:val="24"/>
        </w:rPr>
        <w:t>Executive Committee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120"/>
        <w:ind w:firstLine="0"/>
      </w:pPr>
      <w:r>
        <w:rPr/>
        <w:t>5.1 Election of Executive Committee At-Large members (Adele Schepige)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0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Old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120" w:after="0"/>
        <w:ind w:left="1223" w:right="0" w:hanging="404"/>
        <w:jc w:val="left"/>
        <w:rPr>
          <w:sz w:val="24"/>
        </w:rPr>
      </w:pPr>
      <w:r>
        <w:rPr>
          <w:sz w:val="24"/>
        </w:rPr>
        <w:t>Planning Minor – proposal to drop (Sriram</w:t>
      </w:r>
      <w:r>
        <w:rPr>
          <w:spacing w:val="-1"/>
          <w:sz w:val="24"/>
        </w:rPr>
        <w:t> </w:t>
      </w:r>
      <w:r>
        <w:rPr>
          <w:sz w:val="24"/>
        </w:rPr>
        <w:t>Khé)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0" w:after="0"/>
        <w:ind w:left="1223" w:right="0" w:hanging="404"/>
        <w:jc w:val="left"/>
        <w:rPr>
          <w:sz w:val="24"/>
        </w:rPr>
      </w:pPr>
      <w:r>
        <w:rPr>
          <w:sz w:val="24"/>
        </w:rPr>
        <w:t>Autism Spectrum Disorder Spec. Certificate – proposal to drop (Maria</w:t>
      </w:r>
      <w:r>
        <w:rPr>
          <w:spacing w:val="-28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2" w:right="0" w:hanging="403"/>
        <w:jc w:val="left"/>
        <w:rPr>
          <w:sz w:val="24"/>
        </w:rPr>
      </w:pPr>
      <w:r>
        <w:rPr>
          <w:sz w:val="24"/>
        </w:rPr>
        <w:t>Early Intervention/Special Ed I Endorsement – proposal to drop (Maria</w:t>
      </w:r>
      <w:r>
        <w:rPr>
          <w:spacing w:val="-32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2" w:right="0" w:hanging="403"/>
        <w:jc w:val="left"/>
        <w:rPr>
          <w:sz w:val="24"/>
        </w:rPr>
      </w:pPr>
      <w:r>
        <w:rPr>
          <w:sz w:val="24"/>
        </w:rPr>
        <w:t>Early Intervention/Special Ed II Endorsement – proposal to drop (Maria</w:t>
      </w:r>
      <w:r>
        <w:rPr>
          <w:spacing w:val="-30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2" w:right="0" w:hanging="403"/>
        <w:jc w:val="left"/>
        <w:rPr>
          <w:sz w:val="24"/>
        </w:rPr>
      </w:pPr>
      <w:r>
        <w:rPr>
          <w:sz w:val="24"/>
        </w:rPr>
        <w:t>Proposed changes to FS Bylaws (Kristin</w:t>
      </w:r>
      <w:r>
        <w:rPr>
          <w:spacing w:val="-7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2" w:right="0" w:hanging="403"/>
        <w:jc w:val="left"/>
        <w:rPr>
          <w:sz w:val="24"/>
        </w:rPr>
      </w:pPr>
      <w:r>
        <w:rPr>
          <w:sz w:val="24"/>
        </w:rPr>
        <w:t>Proposed hold on DPT spending (Kim</w:t>
      </w:r>
      <w:r>
        <w:rPr>
          <w:spacing w:val="-5"/>
          <w:sz w:val="24"/>
        </w:rPr>
        <w:t> </w:t>
      </w:r>
      <w:r>
        <w:rPr>
          <w:sz w:val="24"/>
        </w:rPr>
        <w:t>Jensen)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New Business:</w:t>
      </w:r>
      <w:r>
        <w:rPr>
          <w:spacing w:val="-6"/>
          <w:sz w:val="24"/>
        </w:rPr>
        <w:t> </w:t>
      </w:r>
      <w:r>
        <w:rPr>
          <w:sz w:val="24"/>
        </w:rPr>
        <w:t>none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39" w:after="0"/>
        <w:ind w:left="798" w:right="0" w:hanging="339"/>
        <w:jc w:val="left"/>
        <w:rPr>
          <w:sz w:val="24"/>
        </w:rPr>
      </w:pPr>
      <w:r>
        <w:rPr>
          <w:sz w:val="24"/>
        </w:rPr>
        <w:t>Discussion Items: none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137" w:after="0"/>
        <w:ind w:left="801" w:right="0" w:hanging="342"/>
        <w:jc w:val="left"/>
        <w:rPr>
          <w:sz w:val="24"/>
        </w:rPr>
      </w:pPr>
      <w:r>
        <w:rPr>
          <w:sz w:val="24"/>
        </w:rPr>
        <w:t>Informational Presentations and Committee</w:t>
      </w:r>
      <w:r>
        <w:rPr>
          <w:spacing w:val="-10"/>
          <w:sz w:val="24"/>
        </w:rPr>
        <w:t> </w:t>
      </w:r>
      <w:r>
        <w:rPr>
          <w:sz w:val="24"/>
        </w:rPr>
        <w:t>Reports:</w:t>
      </w:r>
    </w:p>
    <w:p>
      <w:pPr>
        <w:pStyle w:val="ListParagraph"/>
        <w:numPr>
          <w:ilvl w:val="1"/>
          <w:numId w:val="3"/>
        </w:numPr>
        <w:tabs>
          <w:tab w:pos="1224" w:val="left" w:leader="none"/>
        </w:tabs>
        <w:spacing w:line="240" w:lineRule="auto" w:before="0" w:after="0"/>
        <w:ind w:left="1223" w:right="0" w:hanging="404"/>
        <w:jc w:val="left"/>
        <w:rPr>
          <w:sz w:val="24"/>
        </w:rPr>
      </w:pPr>
      <w:r>
        <w:rPr>
          <w:sz w:val="24"/>
        </w:rPr>
        <w:t>Ad-hoc Certificates Review Group update (Stewart</w:t>
      </w:r>
      <w:r>
        <w:rPr>
          <w:spacing w:val="-11"/>
          <w:sz w:val="24"/>
        </w:rPr>
        <w:t> </w:t>
      </w:r>
      <w:r>
        <w:rPr>
          <w:sz w:val="24"/>
        </w:rPr>
        <w:t>Baker)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0" w:right="0" w:hanging="401"/>
        <w:jc w:val="left"/>
        <w:rPr>
          <w:sz w:val="24"/>
        </w:rPr>
      </w:pPr>
      <w:r>
        <w:rPr>
          <w:sz w:val="24"/>
        </w:rPr>
        <w:t>Library and Media Services name change (Janeanne</w:t>
      </w:r>
      <w:r>
        <w:rPr>
          <w:spacing w:val="-10"/>
          <w:sz w:val="24"/>
        </w:rPr>
        <w:t> </w:t>
      </w:r>
      <w:r>
        <w:rPr>
          <w:sz w:val="24"/>
        </w:rPr>
        <w:t>Rockwell-Kincanon)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Announcements: none</w:t>
      </w:r>
    </w:p>
    <w:p>
      <w:pPr>
        <w:pStyle w:val="BodyText"/>
        <w:spacing w:before="5"/>
        <w:ind w:left="0" w:firstLine="0"/>
        <w:rPr>
          <w:sz w:val="25"/>
        </w:rPr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"/>
      <w:lvlJc w:val="left"/>
      <w:pPr>
        <w:ind w:left="1223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23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36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94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52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1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68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26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84" w:hanging="404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223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23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36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94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52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1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68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26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84" w:hanging="40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20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80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40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00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60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20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80" w:hanging="43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 w:hanging="361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2020-06-09T16:14:33Z</dcterms:created>
  <dcterms:modified xsi:type="dcterms:W3CDTF">2020-06-09T16:14:33Z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2020-06-09T00:00:00Z</vt:filetime>
  </property>
</Properties>
</file>