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June 8,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Celebration of Faculty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Retirements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Pastega Award Winners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Moment of Silence: Remembering Faculty Who Passed Away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(written reports only)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Analytics (BA, BAS, and Minor) (Breeann Flesh)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 None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Proposed Academic Sustainability Committee (Steve Taylor and David Janoviak)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None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Fostering Success Fundraiser (Emily Plec)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Film Studies (Emily Plec)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Prison Education and Re-Entry Services (Emily Plec)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Preliminary Assessment Report (Leigh Graziano)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